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附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报名流程</w:t>
      </w:r>
    </w:p>
    <w:p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1. 登录全国大学生英语竞赛报名网址</w:t>
      </w:r>
      <w:r>
        <w:rPr>
          <w:rFonts w:hint="eastAsia"/>
          <w:color w:val="FF0000"/>
          <w:sz w:val="24"/>
        </w:rPr>
        <w:t>（https://www.saikr.com/neccs/2021）</w:t>
      </w:r>
      <w:r>
        <w:rPr>
          <w:rFonts w:hint="eastAsia"/>
          <w:sz w:val="24"/>
        </w:rPr>
        <w:t>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2. 点击“各校入口”，选择自己在学校的报名页面；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3. 点击右图右下方的“立即报名”按钮，进入报名和缴费页面。</w:t>
      </w:r>
    </w:p>
    <w:p>
      <w:pPr>
        <w:spacing w:line="360" w:lineRule="auto"/>
        <w:jc w:val="left"/>
      </w:pPr>
      <w:r>
        <w:rPr>
          <w:rFonts w:hint="eastAsia"/>
          <w:sz w:val="24"/>
        </w:rPr>
        <w:t>4. 注意： 英语竞赛报名需要注册，主要有两点：第一，便于参赛者在个人报名页面下载准考证；第二，便于参赛者查看自己的报名信息。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"C:\\Users\\86156\\AppData\\Roaming\\Tencent\\Users\\33719572\\QQ\\WinTemp\\RichOle\\99PH59X09J1~@M0@_81FJTG.png"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4025900" cy="2133600"/>
            <wp:effectExtent l="0" t="0" r="1270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5. 参赛者按照组委会要求填写字段，根据自己的专业仔细选择报考类别；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6. 校区选择一项关系到自己考场设置，请根据自己实际所在的校区选择该项；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7. 填写完后，点击“下一步”按钮，跳转到交费页面。</w:t>
      </w: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"C:\\Users\\86156\\AppData\\Roaming\\Tencent\\Users\\33719572\\QQ\\WinTemp\\RichOle\\QJ2%(_5O7H84O)OZ]1@ME46.png"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4009390" cy="3627755"/>
            <wp:effectExtent l="0" t="0" r="10160" b="1079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lang w:bidi="ar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8. 认真核对自己的信息，确认无误后，点击“立即支付”按钮；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9. 交费成功后，个人报名信息将无法修改，并且组委会不允许以任何理由退赛。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10.点击“返回下一步”，即可修改自己的报名信息。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"C:\\Users\\86156\\AppData\\Roaming\\Tencent\\Users\\33719572\\QQ\\WinTemp\\RichOle\\Y[D}4(@{E}1C08Z3BF5FTGS.png"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6000115" cy="3190875"/>
            <wp:effectExtent l="0" t="0" r="635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11. 在线支付仅支持支付宝付款，如果没有支付宝的同学，可以找周围同学代付。付款成功后，系统自动跳转至报名成功页面。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"C:\\Users\\86156\\AppData\\Roaming\\Tencent\\Users\\33719572\\QQ\\WinTemp\\RichOle\\KUPVQ6Z[{PFF0T[)0[WM2ZS.png"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6395085" cy="3978910"/>
            <wp:effectExtent l="0" t="0" r="5715" b="2540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12. 报名结束后，在个人主页自己参加的竞赛中，点击“报名管理”，进入报名信息页面；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13. 学校负责老师在竞赛报名结束之后，在后台配置各参赛者的考场，并公布准考证；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14. 学校负责老师发布准考证后，参赛者报名信息页面，准考证在右图区域直接下载。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"C:\\Users\\86156\\AppData\\Roaming\\Tencent\\Users\\33719572\\QQ\\WinTemp\\RichOle\\}V}A}SVFX~2P`0(8VB7LA{I.png"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4616450" cy="4352925"/>
            <wp:effectExtent l="0" t="0" r="12700" b="9525"/>
            <wp:docPr id="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15. 参赛者下载电子版准考证之后，用A4纸自行打印。</w:t>
      </w:r>
    </w:p>
    <w:p>
      <w:pPr>
        <w:spacing w:line="360" w:lineRule="auto"/>
        <w:jc w:val="left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57" w:right="1740" w:bottom="720" w:left="17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2021-03-09T07:13:07Z</dcterms:created>
  <dc:creator>Administrator.SC-201912301521</dc:creator>
  <cp:lastModifiedBy>Administrator</cp:lastModifiedBy>
  <dcterms:modified xsi:type="dcterms:W3CDTF">2021-03-09T07:13:16Z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